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left"/>
      </w:pPr>
      <w:r>
        <w:rPr>
          <w:rFonts w:ascii="Arial" w:cs="Arial" w:eastAsia="Arial" w:hAnsi="Arial"/>
          <w:b/>
          <w:bCs/>
          <w:color w:val="8C2F39"/>
          <w:spacing w:val="20"/>
          <w:sz w:val="16"/>
          <w:szCs w:val="16"/>
        </w:rPr>
        <w:t xml:space="preserve">MUKHERJEE &amp; ASSOCIATES LLC · GOVERNANCE INSTRUMENT NO. 1</w:t>
      </w:r>
    </w:p>
    <w:p>
      <w:pPr>
        <w:spacing w:after="60"/>
      </w:pPr>
      <w:r>
        <w:rPr>
          <w:rFonts w:ascii="Georgia" w:cs="Georgia" w:eastAsia="Georgia" w:hAnsi="Georgia"/>
          <w:b/>
          <w:bCs/>
          <w:color w:val="1A2238"/>
          <w:sz w:val="34"/>
          <w:szCs w:val="34"/>
        </w:rPr>
        <w:t xml:space="preserve">[INSTITUTION] — AI Governance Charter (Stand-Up Draft)</w:t>
      </w:r>
    </w:p>
    <w:p>
      <w:pPr>
        <w:spacing w:after="120"/>
      </w:pPr>
      <w:r>
        <w:rPr>
          <w:rFonts w:ascii="Georgia" w:cs="Georgia" w:eastAsia="Georgia" w:hAnsi="Georgia"/>
          <w:i/>
          <w:iCs/>
          <w:color w:val="5B6472"/>
          <w:sz w:val="20"/>
          <w:szCs w:val="20"/>
        </w:rPr>
        <w:t xml:space="preserve">Prepared [DATE] · Governing the Exponential, Instrument v1.1 · Mukherjee &amp; Associates LLC</w:t>
      </w:r>
    </w:p>
    <w:p>
      <w:pPr>
        <w:spacing w:after="120"/>
      </w:pPr>
      <w:r>
        <w:rPr>
          <w:rFonts w:ascii="Georgia" w:cs="Georgia" w:eastAsia="Georgia" w:hAnsi="Georgia"/>
          <w:color w:val="5B6472"/>
          <w:sz w:val="20"/>
          <w:szCs w:val="20"/>
        </w:rPr>
        <w:t xml:space="preserve">This companion is the editable form of the charter the interactive instrument assembles from your ratings at suemukherjee.com/governing-the-exponential. Replace every bracketed field, paste your ninety-day docket into Section 4, and mark the document DRAFT until the cabinet adopts it.</w:t>
      </w:r>
    </w:p>
    <w:p>
      <w:pPr>
        <w:pStyle w:val="Heading2"/>
        <w:spacing w:after="80" w:before="240"/>
      </w:pPr>
      <w:r>
        <w:rPr>
          <w:rFonts w:ascii="Georgia" w:cs="Georgia" w:eastAsia="Georgia" w:hAnsi="Georgia"/>
          <w:b/>
          <w:bCs/>
          <w:color w:val="1A2238"/>
          <w:sz w:val="24"/>
          <w:szCs w:val="24"/>
        </w:rPr>
        <w:t xml:space="preserve">1. Authority</w:t>
      </w:r>
    </w:p>
    <w:p>
      <w:pPr>
        <w:spacing w:after="120"/>
      </w:pPr>
      <w:r>
        <w:rPr>
          <w:rFonts w:ascii="Georgia" w:cs="Georgia" w:eastAsia="Georgia" w:hAnsi="Georgia"/>
          <w:color w:val="1A2238"/>
          <w:sz w:val="22"/>
          <w:szCs w:val="22"/>
        </w:rPr>
        <w:t xml:space="preserve">The President establishes a standing AI Governance Review Body reporting to the President's Cabinet. The Body holds pre-deployment review authority over any AI system that touches student records, financial aid, admission, instruction, or employment decisions, and grounding authority, the documented power to suspend any such system pending review. Grounding authority is vested in [named officer].</w:t>
      </w:r>
    </w:p>
    <w:p>
      <w:pPr>
        <w:pStyle w:val="Heading2"/>
        <w:spacing w:after="80" w:before="240"/>
      </w:pPr>
      <w:r>
        <w:rPr>
          <w:rFonts w:ascii="Georgia" w:cs="Georgia" w:eastAsia="Georgia" w:hAnsi="Georgia"/>
          <w:b/>
          <w:bCs/>
          <w:color w:val="1A2238"/>
          <w:sz w:val="24"/>
          <w:szCs w:val="24"/>
        </w:rPr>
        <w:t xml:space="preserve">2. Composition</w:t>
      </w:r>
    </w:p>
    <w:p>
      <w:pPr>
        <w:spacing w:after="120"/>
      </w:pPr>
      <w:r>
        <w:rPr>
          <w:rFonts w:ascii="Georgia" w:cs="Georgia" w:eastAsia="Georgia" w:hAnsi="Georgia"/>
          <w:color w:val="1A2238"/>
          <w:sz w:val="22"/>
          <w:szCs w:val="22"/>
        </w:rPr>
        <w:t xml:space="preserve">Suggested: the chief information officer or designee; the officer responsible for Title IV compliance; a provost designee; one faculty member; one student representative; and the officer responsible for institutional research. Small enough to meet, senior enough to decide.</w:t>
      </w:r>
    </w:p>
    <w:p>
      <w:pPr>
        <w:pStyle w:val="Heading2"/>
        <w:spacing w:after="80" w:before="240"/>
      </w:pPr>
      <w:r>
        <w:rPr>
          <w:rFonts w:ascii="Georgia" w:cs="Georgia" w:eastAsia="Georgia" w:hAnsi="Georgia"/>
          <w:b/>
          <w:bCs/>
          <w:color w:val="1A2238"/>
          <w:sz w:val="24"/>
          <w:szCs w:val="24"/>
        </w:rPr>
        <w:t xml:space="preserve">3. Scope</w:t>
      </w:r>
    </w:p>
    <w:p>
      <w:pPr>
        <w:spacing w:after="120"/>
      </w:pPr>
      <w:r>
        <w:rPr>
          <w:rFonts w:ascii="Georgia" w:cs="Georgia" w:eastAsia="Georgia" w:hAnsi="Georgia"/>
          <w:color w:val="1A2238"/>
          <w:sz w:val="22"/>
          <w:szCs w:val="22"/>
        </w:rPr>
        <w:t xml:space="preserve">Four review triggers, translated from the frontier testing framework to institutional scale: (a) systems mediating consequential decisions about students or employees; (b) systems handling protected student data; (c) systems capable of acting autonomously on institutional records; (d) vendor systems whose model behavior the institution cannot inspect.</w:t>
      </w:r>
    </w:p>
    <w:p>
      <w:pPr>
        <w:pStyle w:val="Heading2"/>
        <w:spacing w:after="80" w:before="240"/>
      </w:pPr>
      <w:r>
        <w:rPr>
          <w:rFonts w:ascii="Georgia" w:cs="Georgia" w:eastAsia="Georgia" w:hAnsi="Georgia"/>
          <w:b/>
          <w:bCs/>
          <w:color w:val="1A2238"/>
          <w:sz w:val="24"/>
          <w:szCs w:val="24"/>
        </w:rPr>
        <w:t xml:space="preserve">4. First Ninety Days</w:t>
      </w:r>
    </w:p>
    <w:p>
      <w:pPr>
        <w:spacing w:after="120"/>
      </w:pPr>
      <w:r>
        <w:rPr>
          <w:rFonts w:ascii="Georgia" w:cs="Georgia" w:eastAsia="Georgia" w:hAnsi="Georgia"/>
          <w:color w:val="1A2238"/>
          <w:sz w:val="22"/>
          <w:szCs w:val="22"/>
        </w:rPr>
        <w:t xml:space="preserve">[Paste the ninety-day docket generated by the instrument, or list the moves in priority order: 1 through 8, each with its urgency and owning domain.]</w:t>
      </w:r>
    </w:p>
    <w:p>
      <w:pPr>
        <w:pStyle w:val="Heading2"/>
        <w:spacing w:after="80" w:before="240"/>
      </w:pPr>
      <w:r>
        <w:rPr>
          <w:rFonts w:ascii="Georgia" w:cs="Georgia" w:eastAsia="Georgia" w:hAnsi="Georgia"/>
          <w:b/>
          <w:bCs/>
          <w:color w:val="1A2238"/>
          <w:sz w:val="24"/>
          <w:szCs w:val="24"/>
        </w:rPr>
        <w:t xml:space="preserve">5. Evidence Discipline</w:t>
      </w:r>
    </w:p>
    <w:p>
      <w:pPr>
        <w:spacing w:after="120"/>
      </w:pPr>
      <w:r>
        <w:rPr>
          <w:rFonts w:ascii="Georgia" w:cs="Georgia" w:eastAsia="Georgia" w:hAnsi="Georgia"/>
          <w:color w:val="1A2238"/>
          <w:sz w:val="22"/>
          <w:szCs w:val="22"/>
        </w:rPr>
        <w:t xml:space="preserve">Every action above produces a dated artifact, filed against MSCHE Standard II (Ethics and Integrity), Standard VI (Planning, Resources, and Institutional Improvement), and Standard VII (Governance, Leadership, and Administration). The self-study should find this file already built.</w:t>
      </w:r>
    </w:p>
    <w:p>
      <w:pPr>
        <w:pStyle w:val="Heading2"/>
        <w:spacing w:after="80" w:before="240"/>
      </w:pPr>
      <w:r>
        <w:rPr>
          <w:rFonts w:ascii="Georgia" w:cs="Georgia" w:eastAsia="Georgia" w:hAnsi="Georgia"/>
          <w:b/>
          <w:bCs/>
          <w:color w:val="1A2238"/>
          <w:sz w:val="24"/>
          <w:szCs w:val="24"/>
        </w:rPr>
        <w:t xml:space="preserve">6. Review</w:t>
      </w:r>
    </w:p>
    <w:p>
      <w:pPr>
        <w:spacing w:after="120"/>
      </w:pPr>
      <w:r>
        <w:rPr>
          <w:rFonts w:ascii="Georgia" w:cs="Georgia" w:eastAsia="Georgia" w:hAnsi="Georgia"/>
          <w:color w:val="1A2238"/>
          <w:sz w:val="22"/>
          <w:szCs w:val="22"/>
        </w:rPr>
        <w:t xml:space="preserve">This charter is reviewed quarterly in year one, semiannually thereafter. Any provision that produces no decisions in two consecutive cycles is a candidate for planned abandonment.</w:t>
      </w:r>
    </w:p>
    <w:p>
      <w:pPr>
        <w:pStyle w:val="Heading2"/>
        <w:spacing w:after="80" w:before="240"/>
      </w:pPr>
      <w:r>
        <w:rPr>
          <w:rFonts w:ascii="Georgia" w:cs="Georgia" w:eastAsia="Georgia" w:hAnsi="Georgia"/>
          <w:b/>
          <w:bCs/>
          <w:color w:val="1A2238"/>
          <w:sz w:val="24"/>
          <w:szCs w:val="24"/>
        </w:rPr>
        <w:t xml:space="preserve">Current Profile</w:t>
      </w:r>
    </w:p>
    <w:p>
      <w:pPr>
        <w:spacing w:after="120"/>
      </w:pPr>
      <w:r>
        <w:rPr>
          <w:rFonts w:ascii="Georgia" w:cs="Georgia" w:eastAsia="Georgia" w:hAnsi="Georgia"/>
          <w:color w:val="1A2238"/>
          <w:sz w:val="22"/>
          <w:szCs w:val="22"/>
        </w:rPr>
        <w:t xml:space="preserve">[Paste the profile line from the instrument: each domain and its band, the overall band, and the count of items rated.] Ratings are structured self-assessment, not audited evidence.</w:t>
      </w:r>
    </w:p>
    <w:p>
      <w:pPr>
        <w:spacing w:after="120"/>
      </w:pPr>
      <w:r>
        <w:rPr>
          <w:rFonts w:ascii="Georgia" w:cs="Georgia" w:eastAsia="Georgia" w:hAnsi="Georgia"/>
          <w:i/>
          <w:iCs/>
          <w:color w:val="5B6472"/>
          <w:sz w:val="18"/>
          <w:szCs w:val="18"/>
        </w:rPr>
        <w:t xml:space="preserve">Provenance: five-domain architecture translated from Dario Amodei, “Policy on the AI Exponential” (June 2026). The translation to higher education is interpretive; the essay does not address the sector.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2026-07-12T18:13:18.969Z</dcterms:created>
  <dcterms:modified xsi:type="dcterms:W3CDTF">2026-07-12T18:13:18.985Z</dcterms:modified>
</cp:coreProperties>
</file>

<file path=docProps/custom.xml><?xml version="1.0" encoding="utf-8"?>
<Properties xmlns="http://schemas.openxmlformats.org/officeDocument/2006/custom-properties" xmlns:vt="http://schemas.openxmlformats.org/officeDocument/2006/docPropsVTypes"/>
</file>